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17"/>
        <w:gridCol w:w="1271"/>
        <w:gridCol w:w="428"/>
        <w:gridCol w:w="5669"/>
        <w:gridCol w:w="1700"/>
        <w:gridCol w:w="3509"/>
        <w:gridCol w:w="134"/>
      </w:tblGrid>
      <w:tr w:rsidR="0089536B">
        <w:trPr>
          <w:trHeight w:val="1417"/>
        </w:trPr>
        <w:tc>
          <w:tcPr>
            <w:tcW w:w="1417" w:type="dxa"/>
          </w:tcPr>
          <w:p w:rsidR="0089536B" w:rsidRDefault="0089536B">
            <w:pPr>
              <w:pStyle w:val="EmptyCellLayoutStyle"/>
              <w:spacing w:after="0" w:line="240" w:lineRule="auto"/>
            </w:pPr>
          </w:p>
        </w:tc>
        <w:tc>
          <w:tcPr>
            <w:tcW w:w="1271" w:type="dxa"/>
          </w:tcPr>
          <w:p w:rsidR="0089536B" w:rsidRDefault="0089536B">
            <w:pPr>
              <w:pStyle w:val="EmptyCellLayoutStyle"/>
              <w:spacing w:after="0" w:line="240" w:lineRule="auto"/>
            </w:pPr>
          </w:p>
        </w:tc>
        <w:tc>
          <w:tcPr>
            <w:tcW w:w="428" w:type="dxa"/>
          </w:tcPr>
          <w:p w:rsidR="0089536B" w:rsidRDefault="0089536B">
            <w:pPr>
              <w:pStyle w:val="EmptyCellLayoutStyle"/>
              <w:spacing w:after="0" w:line="240" w:lineRule="auto"/>
            </w:pPr>
          </w:p>
        </w:tc>
        <w:tc>
          <w:tcPr>
            <w:tcW w:w="5669" w:type="dxa"/>
          </w:tcPr>
          <w:p w:rsidR="0089536B" w:rsidRDefault="0089536B">
            <w:pPr>
              <w:pStyle w:val="EmptyCellLayoutStyle"/>
              <w:spacing w:after="0" w:line="240" w:lineRule="auto"/>
            </w:pPr>
          </w:p>
        </w:tc>
        <w:tc>
          <w:tcPr>
            <w:tcW w:w="1700" w:type="dxa"/>
          </w:tcPr>
          <w:p w:rsidR="0089536B" w:rsidRDefault="0089536B">
            <w:pPr>
              <w:pStyle w:val="EmptyCellLayoutStyle"/>
              <w:spacing w:after="0" w:line="240" w:lineRule="auto"/>
            </w:pPr>
          </w:p>
        </w:tc>
        <w:tc>
          <w:tcPr>
            <w:tcW w:w="3509" w:type="dxa"/>
          </w:tcPr>
          <w:p w:rsidR="0089536B" w:rsidRDefault="0089536B">
            <w:pPr>
              <w:pStyle w:val="EmptyCellLayoutStyle"/>
              <w:spacing w:after="0" w:line="240" w:lineRule="auto"/>
            </w:pPr>
          </w:p>
        </w:tc>
        <w:tc>
          <w:tcPr>
            <w:tcW w:w="134" w:type="dxa"/>
          </w:tcPr>
          <w:p w:rsidR="0089536B" w:rsidRDefault="0089536B">
            <w:pPr>
              <w:pStyle w:val="EmptyCellLayoutStyle"/>
              <w:spacing w:after="0" w:line="240" w:lineRule="auto"/>
            </w:pPr>
          </w:p>
        </w:tc>
      </w:tr>
      <w:tr w:rsidR="0089536B">
        <w:trPr>
          <w:trHeight w:val="226"/>
        </w:trPr>
        <w:tc>
          <w:tcPr>
            <w:tcW w:w="1417" w:type="dxa"/>
          </w:tcPr>
          <w:p w:rsidR="0089536B" w:rsidRDefault="0089536B">
            <w:pPr>
              <w:pStyle w:val="EmptyCellLayoutStyle"/>
              <w:spacing w:after="0" w:line="240" w:lineRule="auto"/>
            </w:pPr>
          </w:p>
        </w:tc>
        <w:tc>
          <w:tcPr>
            <w:tcW w:w="1271" w:type="dxa"/>
          </w:tcPr>
          <w:p w:rsidR="0089536B" w:rsidRDefault="0089536B">
            <w:pPr>
              <w:pStyle w:val="EmptyCellLayoutStyle"/>
              <w:spacing w:after="0" w:line="240" w:lineRule="auto"/>
            </w:pPr>
          </w:p>
        </w:tc>
        <w:tc>
          <w:tcPr>
            <w:tcW w:w="428" w:type="dxa"/>
          </w:tcPr>
          <w:p w:rsidR="0089536B" w:rsidRDefault="0089536B">
            <w:pPr>
              <w:pStyle w:val="EmptyCellLayoutStyle"/>
              <w:spacing w:after="0" w:line="240" w:lineRule="auto"/>
            </w:pPr>
          </w:p>
        </w:tc>
        <w:tc>
          <w:tcPr>
            <w:tcW w:w="5669" w:type="dxa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69"/>
            </w:tblGrid>
            <w:tr w:rsidR="0089536B">
              <w:trPr>
                <w:trHeight w:val="674"/>
              </w:trPr>
              <w:tc>
                <w:tcPr>
                  <w:tcW w:w="566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536B" w:rsidRDefault="007D1C19">
                  <w:pPr>
                    <w:spacing w:after="0" w:line="240" w:lineRule="auto"/>
                    <w:jc w:val="center"/>
                  </w:pPr>
                  <w:bookmarkStart w:id="0" w:name="_GoBack"/>
                  <w:bookmarkEnd w:id="0"/>
                  <w:r>
                    <w:rPr>
                      <w:rFonts w:ascii="Arial" w:eastAsia="Arial" w:hAnsi="Arial"/>
                      <w:b/>
                      <w:color w:val="000000"/>
                      <w:sz w:val="22"/>
                    </w:rPr>
                    <w:t>Türkiye Ürün İhtisas Borsası</w:t>
                  </w:r>
                </w:p>
                <w:p w:rsidR="0089536B" w:rsidRDefault="007D1C19">
                  <w:pPr>
                    <w:spacing w:after="0" w:line="240" w:lineRule="auto"/>
                    <w:jc w:val="center"/>
                  </w:pPr>
                  <w:proofErr w:type="gramStart"/>
                  <w:r>
                    <w:rPr>
                      <w:rFonts w:ascii="Arial" w:eastAsia="Arial" w:hAnsi="Arial"/>
                      <w:b/>
                      <w:color w:val="000000"/>
                      <w:sz w:val="22"/>
                    </w:rPr>
                    <w:t xml:space="preserve">24 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22"/>
                    </w:rPr>
                    <w:t>-</w:t>
                  </w:r>
                  <w:proofErr w:type="gramEnd"/>
                  <w:r>
                    <w:rPr>
                      <w:rFonts w:ascii="Arial" w:eastAsia="Arial" w:hAnsi="Arial"/>
                      <w:b/>
                      <w:color w:val="000000"/>
                      <w:sz w:val="22"/>
                    </w:rPr>
                    <w:t xml:space="preserve"> 28 Kasım 2025 Haftası Tarım Ürünleri Piyasası Bülteni</w:t>
                  </w:r>
                </w:p>
              </w:tc>
            </w:tr>
          </w:tbl>
          <w:p w:rsidR="0089536B" w:rsidRDefault="0089536B">
            <w:pPr>
              <w:spacing w:after="0" w:line="240" w:lineRule="auto"/>
            </w:pPr>
          </w:p>
        </w:tc>
        <w:tc>
          <w:tcPr>
            <w:tcW w:w="1700" w:type="dxa"/>
          </w:tcPr>
          <w:p w:rsidR="0089536B" w:rsidRDefault="0089536B">
            <w:pPr>
              <w:pStyle w:val="EmptyCellLayoutStyle"/>
              <w:spacing w:after="0" w:line="240" w:lineRule="auto"/>
            </w:pPr>
          </w:p>
        </w:tc>
        <w:tc>
          <w:tcPr>
            <w:tcW w:w="3509" w:type="dxa"/>
          </w:tcPr>
          <w:p w:rsidR="0089536B" w:rsidRDefault="0089536B">
            <w:pPr>
              <w:pStyle w:val="EmptyCellLayoutStyle"/>
              <w:spacing w:after="0" w:line="240" w:lineRule="auto"/>
            </w:pPr>
          </w:p>
        </w:tc>
        <w:tc>
          <w:tcPr>
            <w:tcW w:w="134" w:type="dxa"/>
          </w:tcPr>
          <w:p w:rsidR="0089536B" w:rsidRDefault="0089536B">
            <w:pPr>
              <w:pStyle w:val="EmptyCellLayoutStyle"/>
              <w:spacing w:after="0" w:line="240" w:lineRule="auto"/>
            </w:pPr>
          </w:p>
        </w:tc>
      </w:tr>
      <w:tr w:rsidR="0089536B">
        <w:trPr>
          <w:trHeight w:val="375"/>
        </w:trPr>
        <w:tc>
          <w:tcPr>
            <w:tcW w:w="1417" w:type="dxa"/>
          </w:tcPr>
          <w:p w:rsidR="0089536B" w:rsidRDefault="0089536B">
            <w:pPr>
              <w:pStyle w:val="EmptyCellLayoutStyle"/>
              <w:spacing w:after="0" w:line="240" w:lineRule="auto"/>
            </w:pP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9536B" w:rsidRDefault="007D1C19">
            <w:pPr>
              <w:spacing w:after="0" w:line="240" w:lineRule="auto"/>
            </w:pPr>
            <w:r>
              <w:rPr>
                <w:noProof/>
              </w:rPr>
              <w:drawing>
                <wp:inline distT="0" distB="0" distL="0" distR="0">
                  <wp:extent cx="795866" cy="238759"/>
                  <wp:effectExtent l="0" t="0" r="0" b="0"/>
                  <wp:docPr id="1" name="img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2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5866" cy="2387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8" w:type="dxa"/>
          </w:tcPr>
          <w:p w:rsidR="0089536B" w:rsidRDefault="0089536B">
            <w:pPr>
              <w:pStyle w:val="EmptyCellLayoutStyle"/>
              <w:spacing w:after="0" w:line="240" w:lineRule="auto"/>
            </w:pPr>
          </w:p>
        </w:tc>
        <w:tc>
          <w:tcPr>
            <w:tcW w:w="5669" w:type="dxa"/>
            <w:vMerge/>
          </w:tcPr>
          <w:p w:rsidR="0089536B" w:rsidRDefault="0089536B">
            <w:pPr>
              <w:pStyle w:val="EmptyCellLayoutStyle"/>
              <w:spacing w:after="0" w:line="240" w:lineRule="auto"/>
            </w:pPr>
          </w:p>
        </w:tc>
        <w:tc>
          <w:tcPr>
            <w:tcW w:w="1700" w:type="dxa"/>
          </w:tcPr>
          <w:p w:rsidR="0089536B" w:rsidRDefault="0089536B">
            <w:pPr>
              <w:pStyle w:val="EmptyCellLayoutStyle"/>
              <w:spacing w:after="0" w:line="240" w:lineRule="auto"/>
            </w:pPr>
          </w:p>
        </w:tc>
        <w:tc>
          <w:tcPr>
            <w:tcW w:w="3509" w:type="dxa"/>
          </w:tcPr>
          <w:p w:rsidR="0089536B" w:rsidRDefault="0089536B">
            <w:pPr>
              <w:pStyle w:val="EmptyCellLayoutStyle"/>
              <w:spacing w:after="0" w:line="240" w:lineRule="auto"/>
            </w:pPr>
          </w:p>
        </w:tc>
        <w:tc>
          <w:tcPr>
            <w:tcW w:w="134" w:type="dxa"/>
          </w:tcPr>
          <w:p w:rsidR="0089536B" w:rsidRDefault="0089536B">
            <w:pPr>
              <w:pStyle w:val="EmptyCellLayoutStyle"/>
              <w:spacing w:after="0" w:line="240" w:lineRule="auto"/>
            </w:pPr>
          </w:p>
        </w:tc>
      </w:tr>
      <w:tr w:rsidR="0089536B">
        <w:trPr>
          <w:trHeight w:val="149"/>
        </w:trPr>
        <w:tc>
          <w:tcPr>
            <w:tcW w:w="1417" w:type="dxa"/>
          </w:tcPr>
          <w:p w:rsidR="0089536B" w:rsidRDefault="0089536B">
            <w:pPr>
              <w:pStyle w:val="EmptyCellLayoutStyle"/>
              <w:spacing w:after="0" w:line="240" w:lineRule="auto"/>
            </w:pPr>
          </w:p>
        </w:tc>
        <w:tc>
          <w:tcPr>
            <w:tcW w:w="1271" w:type="dxa"/>
          </w:tcPr>
          <w:p w:rsidR="0089536B" w:rsidRDefault="0089536B">
            <w:pPr>
              <w:pStyle w:val="EmptyCellLayoutStyle"/>
              <w:spacing w:after="0" w:line="240" w:lineRule="auto"/>
            </w:pPr>
          </w:p>
        </w:tc>
        <w:tc>
          <w:tcPr>
            <w:tcW w:w="428" w:type="dxa"/>
          </w:tcPr>
          <w:p w:rsidR="0089536B" w:rsidRDefault="0089536B">
            <w:pPr>
              <w:pStyle w:val="EmptyCellLayoutStyle"/>
              <w:spacing w:after="0" w:line="240" w:lineRule="auto"/>
            </w:pPr>
          </w:p>
        </w:tc>
        <w:tc>
          <w:tcPr>
            <w:tcW w:w="5669" w:type="dxa"/>
            <w:vMerge/>
          </w:tcPr>
          <w:p w:rsidR="0089536B" w:rsidRDefault="0089536B">
            <w:pPr>
              <w:pStyle w:val="EmptyCellLayoutStyle"/>
              <w:spacing w:after="0" w:line="240" w:lineRule="auto"/>
            </w:pPr>
          </w:p>
        </w:tc>
        <w:tc>
          <w:tcPr>
            <w:tcW w:w="1700" w:type="dxa"/>
          </w:tcPr>
          <w:p w:rsidR="0089536B" w:rsidRDefault="0089536B">
            <w:pPr>
              <w:pStyle w:val="EmptyCellLayoutStyle"/>
              <w:spacing w:after="0" w:line="240" w:lineRule="auto"/>
            </w:pPr>
          </w:p>
        </w:tc>
        <w:tc>
          <w:tcPr>
            <w:tcW w:w="3509" w:type="dxa"/>
          </w:tcPr>
          <w:p w:rsidR="0089536B" w:rsidRDefault="0089536B">
            <w:pPr>
              <w:pStyle w:val="EmptyCellLayoutStyle"/>
              <w:spacing w:after="0" w:line="240" w:lineRule="auto"/>
            </w:pPr>
          </w:p>
        </w:tc>
        <w:tc>
          <w:tcPr>
            <w:tcW w:w="134" w:type="dxa"/>
          </w:tcPr>
          <w:p w:rsidR="0089536B" w:rsidRDefault="0089536B">
            <w:pPr>
              <w:pStyle w:val="EmptyCellLayoutStyle"/>
              <w:spacing w:after="0" w:line="240" w:lineRule="auto"/>
            </w:pPr>
          </w:p>
        </w:tc>
      </w:tr>
      <w:tr w:rsidR="0089536B">
        <w:trPr>
          <w:trHeight w:val="261"/>
        </w:trPr>
        <w:tc>
          <w:tcPr>
            <w:tcW w:w="1417" w:type="dxa"/>
          </w:tcPr>
          <w:p w:rsidR="0089536B" w:rsidRDefault="0089536B">
            <w:pPr>
              <w:pStyle w:val="EmptyCellLayoutStyle"/>
              <w:spacing w:after="0" w:line="240" w:lineRule="auto"/>
            </w:pPr>
          </w:p>
        </w:tc>
        <w:tc>
          <w:tcPr>
            <w:tcW w:w="1271" w:type="dxa"/>
          </w:tcPr>
          <w:p w:rsidR="0089536B" w:rsidRDefault="0089536B">
            <w:pPr>
              <w:pStyle w:val="EmptyCellLayoutStyle"/>
              <w:spacing w:after="0" w:line="240" w:lineRule="auto"/>
            </w:pPr>
          </w:p>
        </w:tc>
        <w:tc>
          <w:tcPr>
            <w:tcW w:w="428" w:type="dxa"/>
          </w:tcPr>
          <w:p w:rsidR="0089536B" w:rsidRDefault="0089536B">
            <w:pPr>
              <w:pStyle w:val="EmptyCellLayoutStyle"/>
              <w:spacing w:after="0" w:line="240" w:lineRule="auto"/>
            </w:pPr>
          </w:p>
        </w:tc>
        <w:tc>
          <w:tcPr>
            <w:tcW w:w="5669" w:type="dxa"/>
          </w:tcPr>
          <w:p w:rsidR="0089536B" w:rsidRDefault="0089536B">
            <w:pPr>
              <w:pStyle w:val="EmptyCellLayoutStyle"/>
              <w:spacing w:after="0" w:line="240" w:lineRule="auto"/>
            </w:pPr>
          </w:p>
        </w:tc>
        <w:tc>
          <w:tcPr>
            <w:tcW w:w="1700" w:type="dxa"/>
          </w:tcPr>
          <w:p w:rsidR="0089536B" w:rsidRDefault="0089536B">
            <w:pPr>
              <w:pStyle w:val="EmptyCellLayoutStyle"/>
              <w:spacing w:after="0" w:line="240" w:lineRule="auto"/>
            </w:pPr>
          </w:p>
        </w:tc>
        <w:tc>
          <w:tcPr>
            <w:tcW w:w="3509" w:type="dxa"/>
          </w:tcPr>
          <w:p w:rsidR="0089536B" w:rsidRDefault="0089536B">
            <w:pPr>
              <w:pStyle w:val="EmptyCellLayoutStyle"/>
              <w:spacing w:after="0" w:line="240" w:lineRule="auto"/>
            </w:pPr>
          </w:p>
        </w:tc>
        <w:tc>
          <w:tcPr>
            <w:tcW w:w="134" w:type="dxa"/>
          </w:tcPr>
          <w:p w:rsidR="0089536B" w:rsidRDefault="0089536B">
            <w:pPr>
              <w:pStyle w:val="EmptyCellLayoutStyle"/>
              <w:spacing w:after="0" w:line="240" w:lineRule="auto"/>
            </w:pPr>
          </w:p>
        </w:tc>
      </w:tr>
      <w:tr w:rsidR="007D1C19" w:rsidTr="007D1C19">
        <w:trPr>
          <w:trHeight w:val="5867"/>
        </w:trPr>
        <w:tc>
          <w:tcPr>
            <w:tcW w:w="1417" w:type="dxa"/>
          </w:tcPr>
          <w:p w:rsidR="0089536B" w:rsidRDefault="0089536B">
            <w:pPr>
              <w:pStyle w:val="EmptyCellLayoutStyle"/>
              <w:spacing w:after="0" w:line="240" w:lineRule="auto"/>
            </w:pPr>
          </w:p>
        </w:tc>
        <w:tc>
          <w:tcPr>
            <w:tcW w:w="1271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068"/>
            </w:tblGrid>
            <w:tr w:rsidR="0089536B">
              <w:trPr>
                <w:trHeight w:val="5867"/>
              </w:trPr>
              <w:tc>
                <w:tcPr>
                  <w:tcW w:w="9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9536B" w:rsidRDefault="007D1C1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  <w:u w:val="single"/>
                    </w:rPr>
                    <w:t>Elektronik Ürün Senedi Piyasası</w:t>
                  </w:r>
                </w:p>
                <w:p w:rsidR="0089536B" w:rsidRDefault="0089536B">
                  <w:pPr>
                    <w:spacing w:after="0" w:line="240" w:lineRule="auto"/>
                  </w:pPr>
                </w:p>
                <w:p w:rsidR="0089536B" w:rsidRDefault="007D1C1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Tarım ürünlerinin işlem gördüğü Türkiye Ürün İhtisas Borsası (TÜRİB) Elektronik Ürün Senedi (ELÜS) Piyasasında işlem hacminde öne çıkan Arpa, Buğday ve Mısır ürünleri için fiyat gelişimi aşağıda verilmektedir: </w:t>
                  </w:r>
                </w:p>
                <w:p w:rsidR="0089536B" w:rsidRDefault="0089536B">
                  <w:pPr>
                    <w:spacing w:after="0" w:line="240" w:lineRule="auto"/>
                  </w:pPr>
                </w:p>
                <w:p w:rsidR="0089536B" w:rsidRDefault="007D1C19">
                  <w:pPr>
                    <w:numPr>
                      <w:ilvl w:val="0"/>
                      <w:numId w:val="1"/>
                    </w:numPr>
                    <w:spacing w:after="0" w:line="240" w:lineRule="auto"/>
                    <w:ind w:left="720" w:hanging="360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Buğday Ekmeklik:</w:t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En çok işlemin gerçekleştiğ</w:t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i "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Buğday Ekmeklik Kırmızı 2.Sınıf</w:t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" ürünler; 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24 Kasım Pazartesi 13,62 </w:t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TL/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kg'den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açılmış ve ağırlıklı ortalama fiyatı 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13,80</w:t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TL/kg,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28 Kasım Cuma </w:t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günü ağırlıklı ortalama fiyatı 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13,52 </w:t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TL/kg olmuştur. Tüm Ekmeklik Buğday ürünlerinde haftalık işlem ortalaması i</w:t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se 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13,77</w:t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TL/kg olarak gerçekleşmiştir. </w:t>
                  </w:r>
                </w:p>
                <w:p w:rsidR="0089536B" w:rsidRDefault="0089536B">
                  <w:pPr>
                    <w:spacing w:after="0" w:line="240" w:lineRule="auto"/>
                    <w:ind w:left="720" w:hanging="360"/>
                  </w:pPr>
                </w:p>
                <w:p w:rsidR="0089536B" w:rsidRDefault="007D1C19">
                  <w:pPr>
                    <w:numPr>
                      <w:ilvl w:val="0"/>
                      <w:numId w:val="1"/>
                    </w:numPr>
                    <w:spacing w:after="0" w:line="240" w:lineRule="auto"/>
                    <w:ind w:left="720" w:hanging="360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Buğday Makarnalık:</w:t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En çok işlemin gerçekleştiği "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Buğday Makarnalık Düşük Vasıflı</w:t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" ürünler; 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24 Kasım Pazartesi 13,00 </w:t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TL/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kg'den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açılmış ve ağırlıklı ortalama fiyatı 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13,00</w:t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TL/kg,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28 Kasım Cuma </w:t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günü ağırlıklı ortalama f</w:t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iyatı 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13,09 </w:t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TL/kg olmuştur. Tüm Makarnalık Buğday ürünlerinde haftalık işlem ortalaması ise 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13,05</w:t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TL/kg olarak gerçekleşmiştir. </w:t>
                  </w:r>
                </w:p>
                <w:p w:rsidR="0089536B" w:rsidRDefault="0089536B">
                  <w:pPr>
                    <w:spacing w:after="0" w:line="240" w:lineRule="auto"/>
                  </w:pPr>
                </w:p>
                <w:p w:rsidR="0089536B" w:rsidRDefault="007D1C19">
                  <w:pPr>
                    <w:numPr>
                      <w:ilvl w:val="0"/>
                      <w:numId w:val="1"/>
                    </w:numPr>
                    <w:spacing w:after="0" w:line="240" w:lineRule="auto"/>
                    <w:ind w:left="720" w:hanging="360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Mısır:</w:t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Pazartesi 11,00 </w:t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TL/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kg'den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açılan ve ağırlıklı ortalama fiyatı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10,95</w:t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TL/kg olan Mısır'ın </w:t>
                  </w:r>
                  <w:proofErr w:type="gram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Cuma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günü ağırlıklı ortalama fi</w:t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yatı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10,80 </w:t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TL/kg olmuştur. Haftalık işlem ortalaması ise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10,85</w:t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TL/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kg'den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gerçekleşmiştir. </w:t>
                  </w:r>
                </w:p>
                <w:p w:rsidR="0089536B" w:rsidRDefault="0089536B">
                  <w:pPr>
                    <w:spacing w:after="0" w:line="240" w:lineRule="auto"/>
                  </w:pPr>
                </w:p>
                <w:p w:rsidR="0089536B" w:rsidRDefault="007D1C19">
                  <w:pPr>
                    <w:numPr>
                      <w:ilvl w:val="0"/>
                      <w:numId w:val="1"/>
                    </w:numPr>
                    <w:spacing w:after="0" w:line="240" w:lineRule="auto"/>
                    <w:ind w:left="720" w:hanging="360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Arpa:</w:t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Pazartesi 11,60 </w:t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TL/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kg'den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açılan ve ağırlıklı ortalama fiyatı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11,87</w:t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TL/kg olan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Arpa'nın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gram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Cuma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günü ağırlıklı ortalama fiyatı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12,05 </w:t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TL/kg olmuştur. Haftalık işl</w:t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em ortalaması ise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12,10</w:t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TL/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kg'den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gerçekleşmiştir. </w:t>
                  </w:r>
                </w:p>
                <w:p w:rsidR="0089536B" w:rsidRDefault="0089536B">
                  <w:pPr>
                    <w:spacing w:after="0" w:line="240" w:lineRule="auto"/>
                  </w:pPr>
                </w:p>
                <w:p w:rsidR="0089536B" w:rsidRDefault="007D1C1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  <w:u w:val="single"/>
                    </w:rPr>
                    <w:t>TÜRİB Tarımsal Ürün Fiyat Endeksleri</w:t>
                  </w:r>
                </w:p>
                <w:p w:rsidR="0089536B" w:rsidRDefault="0089536B">
                  <w:pPr>
                    <w:spacing w:after="0" w:line="240" w:lineRule="auto"/>
                  </w:pPr>
                </w:p>
                <w:p w:rsidR="0089536B" w:rsidRDefault="007D1C1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Başlangıç tarihi 1 Nisan 2021 ve başlangıç değeri 1000 olan fiyat endekslerinin haftalık gelişimi ve haftanın son iş günü itibariyle, son 1 yılda kaydettiği fiyat de</w:t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ğişim oranları aşağıda verilmektedir:</w:t>
                  </w:r>
                </w:p>
                <w:p w:rsidR="0089536B" w:rsidRDefault="0089536B">
                  <w:pPr>
                    <w:spacing w:after="0" w:line="240" w:lineRule="auto"/>
                  </w:pPr>
                </w:p>
                <w:p w:rsidR="0089536B" w:rsidRDefault="007D1C19">
                  <w:pPr>
                    <w:numPr>
                      <w:ilvl w:val="0"/>
                      <w:numId w:val="1"/>
                    </w:numPr>
                    <w:spacing w:after="0" w:line="240" w:lineRule="auto"/>
                    <w:ind w:left="720" w:hanging="360"/>
                  </w:pPr>
                  <w:r>
                    <w:rPr>
                      <w:rFonts w:ascii="Segoe UI" w:eastAsia="Segoe UI" w:hAnsi="Segoe UI"/>
                      <w:b/>
                      <w:color w:val="000000"/>
                      <w:sz w:val="16"/>
                    </w:rPr>
                    <w:t>TÜRİB Arpa Endeksi: 24.11.2025</w:t>
                  </w: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 xml:space="preserve"> </w:t>
                  </w:r>
                  <w:r>
                    <w:rPr>
                      <w:rFonts w:ascii="Segoe UI" w:eastAsia="Segoe UI" w:hAnsi="Segoe UI"/>
                      <w:b/>
                      <w:color w:val="000000"/>
                      <w:sz w:val="16"/>
                    </w:rPr>
                    <w:t xml:space="preserve">6.245,57 </w:t>
                  </w: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 xml:space="preserve">seviyesinde, </w:t>
                  </w:r>
                  <w:r>
                    <w:rPr>
                      <w:rFonts w:ascii="Segoe UI" w:eastAsia="Segoe UI" w:hAnsi="Segoe UI"/>
                      <w:b/>
                      <w:color w:val="000000"/>
                      <w:sz w:val="16"/>
                    </w:rPr>
                    <w:t xml:space="preserve">28.11.2025 </w:t>
                  </w: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 xml:space="preserve">günü ise </w:t>
                  </w:r>
                  <w:r>
                    <w:rPr>
                      <w:rFonts w:ascii="Segoe UI" w:eastAsia="Segoe UI" w:hAnsi="Segoe UI"/>
                      <w:b/>
                      <w:color w:val="000000"/>
                      <w:sz w:val="16"/>
                    </w:rPr>
                    <w:t xml:space="preserve">6.314,52 </w:t>
                  </w: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 xml:space="preserve">seviyesinde kapanmıştır. Haftalık değişim </w:t>
                  </w:r>
                  <w:r>
                    <w:rPr>
                      <w:rFonts w:ascii="Segoe UI" w:eastAsia="Segoe UI" w:hAnsi="Segoe UI"/>
                      <w:b/>
                      <w:color w:val="000000"/>
                      <w:sz w:val="16"/>
                    </w:rPr>
                    <w:t xml:space="preserve">%1,10, </w:t>
                  </w: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 xml:space="preserve">yıllık değişim </w:t>
                  </w:r>
                  <w:r>
                    <w:rPr>
                      <w:rFonts w:ascii="Segoe UI" w:eastAsia="Segoe UI" w:hAnsi="Segoe UI"/>
                      <w:b/>
                      <w:color w:val="000000"/>
                      <w:sz w:val="16"/>
                    </w:rPr>
                    <w:t xml:space="preserve">%45,19 </w:t>
                  </w: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olmuştur.</w:t>
                  </w:r>
                </w:p>
                <w:p w:rsidR="0089536B" w:rsidRDefault="0089536B">
                  <w:pPr>
                    <w:spacing w:after="0" w:line="240" w:lineRule="auto"/>
                    <w:ind w:left="720" w:hanging="360"/>
                  </w:pPr>
                </w:p>
                <w:p w:rsidR="0089536B" w:rsidRDefault="007D1C19">
                  <w:pPr>
                    <w:numPr>
                      <w:ilvl w:val="0"/>
                      <w:numId w:val="1"/>
                    </w:numPr>
                    <w:spacing w:after="0" w:line="240" w:lineRule="auto"/>
                    <w:ind w:left="720" w:hanging="360"/>
                  </w:pPr>
                  <w:r>
                    <w:rPr>
                      <w:rFonts w:ascii="Segoe UI" w:eastAsia="Segoe UI" w:hAnsi="Segoe UI"/>
                      <w:b/>
                      <w:color w:val="000000"/>
                      <w:sz w:val="16"/>
                    </w:rPr>
                    <w:t>TÜRİB Buğday Ekmeklik Endeksi: 24.11.2025</w:t>
                  </w: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 xml:space="preserve"> </w:t>
                  </w:r>
                  <w:r>
                    <w:rPr>
                      <w:rFonts w:ascii="Segoe UI" w:eastAsia="Segoe UI" w:hAnsi="Segoe UI"/>
                      <w:b/>
                      <w:color w:val="000000"/>
                      <w:sz w:val="16"/>
                    </w:rPr>
                    <w:t xml:space="preserve">6.708,55 </w:t>
                  </w: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 xml:space="preserve">seviyesinde, </w:t>
                  </w:r>
                  <w:r>
                    <w:rPr>
                      <w:rFonts w:ascii="Segoe UI" w:eastAsia="Segoe UI" w:hAnsi="Segoe UI"/>
                      <w:b/>
                      <w:color w:val="000000"/>
                      <w:sz w:val="16"/>
                    </w:rPr>
                    <w:t xml:space="preserve">28.11.2025 </w:t>
                  </w: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 xml:space="preserve">günü ise </w:t>
                  </w:r>
                  <w:r>
                    <w:rPr>
                      <w:rFonts w:ascii="Segoe UI" w:eastAsia="Segoe UI" w:hAnsi="Segoe UI"/>
                      <w:b/>
                      <w:color w:val="000000"/>
                      <w:sz w:val="16"/>
                    </w:rPr>
                    <w:t xml:space="preserve">6.573,34 </w:t>
                  </w: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 xml:space="preserve">seviyesinde kapanmıştır. Haftalık </w:t>
                  </w:r>
                  <w:proofErr w:type="gramStart"/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 xml:space="preserve">değişim </w:t>
                  </w:r>
                  <w:r>
                    <w:rPr>
                      <w:rFonts w:ascii="Segoe UI" w:eastAsia="Segoe UI" w:hAnsi="Segoe UI"/>
                      <w:b/>
                      <w:color w:val="000000"/>
                      <w:sz w:val="16"/>
                    </w:rPr>
                    <w:t>-</w:t>
                  </w:r>
                  <w:proofErr w:type="gramEnd"/>
                  <w:r>
                    <w:rPr>
                      <w:rFonts w:ascii="Segoe UI" w:eastAsia="Segoe UI" w:hAnsi="Segoe UI"/>
                      <w:b/>
                      <w:color w:val="000000"/>
                      <w:sz w:val="16"/>
                    </w:rPr>
                    <w:t xml:space="preserve">%2,02, </w:t>
                  </w: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 xml:space="preserve">yıllık değişim </w:t>
                  </w:r>
                  <w:r>
                    <w:rPr>
                      <w:rFonts w:ascii="Segoe UI" w:eastAsia="Segoe UI" w:hAnsi="Segoe UI"/>
                      <w:b/>
                      <w:color w:val="000000"/>
                      <w:sz w:val="16"/>
                    </w:rPr>
                    <w:t xml:space="preserve">%26,04 </w:t>
                  </w: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olmuştur.</w:t>
                  </w:r>
                </w:p>
                <w:p w:rsidR="0089536B" w:rsidRDefault="0089536B">
                  <w:pPr>
                    <w:spacing w:after="0" w:line="240" w:lineRule="auto"/>
                    <w:ind w:left="720" w:hanging="360"/>
                  </w:pPr>
                </w:p>
                <w:p w:rsidR="0089536B" w:rsidRDefault="007D1C19">
                  <w:pPr>
                    <w:numPr>
                      <w:ilvl w:val="0"/>
                      <w:numId w:val="1"/>
                    </w:numPr>
                    <w:spacing w:after="0" w:line="240" w:lineRule="auto"/>
                    <w:ind w:left="720" w:hanging="360"/>
                  </w:pPr>
                  <w:r>
                    <w:rPr>
                      <w:rFonts w:ascii="Segoe UI" w:eastAsia="Segoe UI" w:hAnsi="Segoe UI"/>
                      <w:b/>
                      <w:color w:val="000000"/>
                      <w:sz w:val="16"/>
                    </w:rPr>
                    <w:t>TÜRİB Buğday Endeksi: 24.11.2025</w:t>
                  </w: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 xml:space="preserve"> </w:t>
                  </w:r>
                  <w:r>
                    <w:rPr>
                      <w:rFonts w:ascii="Segoe UI" w:eastAsia="Segoe UI" w:hAnsi="Segoe UI"/>
                      <w:b/>
                      <w:color w:val="000000"/>
                      <w:sz w:val="16"/>
                    </w:rPr>
                    <w:t xml:space="preserve">6.304,79 </w:t>
                  </w: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 xml:space="preserve">seviyesinde, </w:t>
                  </w:r>
                  <w:r>
                    <w:rPr>
                      <w:rFonts w:ascii="Segoe UI" w:eastAsia="Segoe UI" w:hAnsi="Segoe UI"/>
                      <w:b/>
                      <w:color w:val="000000"/>
                      <w:sz w:val="16"/>
                    </w:rPr>
                    <w:t xml:space="preserve">28.11.2025 </w:t>
                  </w: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 xml:space="preserve">günü ise </w:t>
                  </w:r>
                  <w:r>
                    <w:rPr>
                      <w:rFonts w:ascii="Segoe UI" w:eastAsia="Segoe UI" w:hAnsi="Segoe UI"/>
                      <w:b/>
                      <w:color w:val="000000"/>
                      <w:sz w:val="16"/>
                    </w:rPr>
                    <w:t xml:space="preserve">6.233,18 </w:t>
                  </w: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 xml:space="preserve">seviyesinde kapanmıştır. Haftalık </w:t>
                  </w:r>
                  <w:proofErr w:type="gramStart"/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 xml:space="preserve">değişim </w:t>
                  </w:r>
                  <w:r>
                    <w:rPr>
                      <w:rFonts w:ascii="Segoe UI" w:eastAsia="Segoe UI" w:hAnsi="Segoe UI"/>
                      <w:b/>
                      <w:color w:val="000000"/>
                      <w:sz w:val="16"/>
                    </w:rPr>
                    <w:t>-</w:t>
                  </w:r>
                  <w:proofErr w:type="gramEnd"/>
                  <w:r>
                    <w:rPr>
                      <w:rFonts w:ascii="Segoe UI" w:eastAsia="Segoe UI" w:hAnsi="Segoe UI"/>
                      <w:b/>
                      <w:color w:val="000000"/>
                      <w:sz w:val="16"/>
                    </w:rPr>
                    <w:t>%1,1</w:t>
                  </w:r>
                  <w:r>
                    <w:rPr>
                      <w:rFonts w:ascii="Segoe UI" w:eastAsia="Segoe UI" w:hAnsi="Segoe UI"/>
                      <w:b/>
                      <w:color w:val="000000"/>
                      <w:sz w:val="16"/>
                    </w:rPr>
                    <w:t xml:space="preserve">4, </w:t>
                  </w: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 xml:space="preserve">yıllık değişim </w:t>
                  </w:r>
                  <w:r>
                    <w:rPr>
                      <w:rFonts w:ascii="Segoe UI" w:eastAsia="Segoe UI" w:hAnsi="Segoe UI"/>
                      <w:b/>
                      <w:color w:val="000000"/>
                      <w:sz w:val="16"/>
                    </w:rPr>
                    <w:t xml:space="preserve">%22,44 </w:t>
                  </w: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olmuştur.</w:t>
                  </w:r>
                </w:p>
                <w:p w:rsidR="0089536B" w:rsidRDefault="0089536B">
                  <w:pPr>
                    <w:spacing w:after="0" w:line="240" w:lineRule="auto"/>
                    <w:ind w:left="720" w:hanging="360"/>
                  </w:pPr>
                </w:p>
                <w:p w:rsidR="0089536B" w:rsidRDefault="007D1C19">
                  <w:pPr>
                    <w:numPr>
                      <w:ilvl w:val="0"/>
                      <w:numId w:val="1"/>
                    </w:numPr>
                    <w:spacing w:after="0" w:line="240" w:lineRule="auto"/>
                    <w:ind w:left="720" w:hanging="360"/>
                  </w:pPr>
                  <w:r>
                    <w:rPr>
                      <w:rFonts w:ascii="Segoe UI" w:eastAsia="Segoe UI" w:hAnsi="Segoe UI"/>
                      <w:b/>
                      <w:color w:val="000000"/>
                      <w:sz w:val="16"/>
                    </w:rPr>
                    <w:t>TÜRİB Buğday Makarnalık Endeksi: 24.11.2025</w:t>
                  </w: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 xml:space="preserve"> </w:t>
                  </w:r>
                  <w:r>
                    <w:rPr>
                      <w:rFonts w:ascii="Segoe UI" w:eastAsia="Segoe UI" w:hAnsi="Segoe UI"/>
                      <w:b/>
                      <w:color w:val="000000"/>
                      <w:sz w:val="16"/>
                    </w:rPr>
                    <w:t xml:space="preserve">6.192,66 </w:t>
                  </w: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 xml:space="preserve">seviyesinde, </w:t>
                  </w:r>
                  <w:r>
                    <w:rPr>
                      <w:rFonts w:ascii="Segoe UI" w:eastAsia="Segoe UI" w:hAnsi="Segoe UI"/>
                      <w:b/>
                      <w:color w:val="000000"/>
                      <w:sz w:val="16"/>
                    </w:rPr>
                    <w:t xml:space="preserve">28.11.2025 </w:t>
                  </w: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 xml:space="preserve">günü ise </w:t>
                  </w:r>
                  <w:r>
                    <w:rPr>
                      <w:rFonts w:ascii="Segoe UI" w:eastAsia="Segoe UI" w:hAnsi="Segoe UI"/>
                      <w:b/>
                      <w:color w:val="000000"/>
                      <w:sz w:val="16"/>
                    </w:rPr>
                    <w:t xml:space="preserve">6.161,90 </w:t>
                  </w: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 xml:space="preserve">seviyesinde kapanmıştır. Haftalık </w:t>
                  </w:r>
                  <w:proofErr w:type="gramStart"/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 xml:space="preserve">değişim </w:t>
                  </w:r>
                  <w:r>
                    <w:rPr>
                      <w:rFonts w:ascii="Segoe UI" w:eastAsia="Segoe UI" w:hAnsi="Segoe UI"/>
                      <w:b/>
                      <w:color w:val="000000"/>
                      <w:sz w:val="16"/>
                    </w:rPr>
                    <w:t>-</w:t>
                  </w:r>
                  <w:proofErr w:type="gramEnd"/>
                  <w:r>
                    <w:rPr>
                      <w:rFonts w:ascii="Segoe UI" w:eastAsia="Segoe UI" w:hAnsi="Segoe UI"/>
                      <w:b/>
                      <w:color w:val="000000"/>
                      <w:sz w:val="16"/>
                    </w:rPr>
                    <w:t xml:space="preserve">%0,50, </w:t>
                  </w: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 xml:space="preserve">yıllık değişim </w:t>
                  </w:r>
                  <w:r>
                    <w:rPr>
                      <w:rFonts w:ascii="Segoe UI" w:eastAsia="Segoe UI" w:hAnsi="Segoe UI"/>
                      <w:b/>
                      <w:color w:val="000000"/>
                      <w:sz w:val="16"/>
                    </w:rPr>
                    <w:t xml:space="preserve">%20,60 </w:t>
                  </w: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olmuştur.</w:t>
                  </w:r>
                </w:p>
                <w:p w:rsidR="0089536B" w:rsidRDefault="0089536B">
                  <w:pPr>
                    <w:spacing w:after="0" w:line="240" w:lineRule="auto"/>
                    <w:ind w:left="720" w:hanging="360"/>
                  </w:pPr>
                </w:p>
                <w:p w:rsidR="0089536B" w:rsidRDefault="007D1C19">
                  <w:pPr>
                    <w:numPr>
                      <w:ilvl w:val="0"/>
                      <w:numId w:val="1"/>
                    </w:numPr>
                    <w:spacing w:after="0" w:line="240" w:lineRule="auto"/>
                    <w:ind w:left="720" w:hanging="360"/>
                  </w:pPr>
                  <w:r>
                    <w:rPr>
                      <w:rFonts w:ascii="Segoe UI" w:eastAsia="Segoe UI" w:hAnsi="Segoe UI"/>
                      <w:b/>
                      <w:color w:val="000000"/>
                      <w:sz w:val="16"/>
                    </w:rPr>
                    <w:t>TÜRİB Hububat Endeksi: 24.11.2025</w:t>
                  </w: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 xml:space="preserve"> </w:t>
                  </w:r>
                  <w:r>
                    <w:rPr>
                      <w:rFonts w:ascii="Segoe UI" w:eastAsia="Segoe UI" w:hAnsi="Segoe UI"/>
                      <w:b/>
                      <w:color w:val="000000"/>
                      <w:sz w:val="16"/>
                    </w:rPr>
                    <w:t>6.028,51</w:t>
                  </w:r>
                  <w:r>
                    <w:rPr>
                      <w:rFonts w:ascii="Segoe UI" w:eastAsia="Segoe UI" w:hAnsi="Segoe UI"/>
                      <w:b/>
                      <w:color w:val="000000"/>
                      <w:sz w:val="16"/>
                    </w:rPr>
                    <w:t xml:space="preserve"> </w:t>
                  </w: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 xml:space="preserve">seviyesinde, </w:t>
                  </w:r>
                  <w:r>
                    <w:rPr>
                      <w:rFonts w:ascii="Segoe UI" w:eastAsia="Segoe UI" w:hAnsi="Segoe UI"/>
                      <w:b/>
                      <w:color w:val="000000"/>
                      <w:sz w:val="16"/>
                    </w:rPr>
                    <w:t xml:space="preserve">28.11.2025 </w:t>
                  </w: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 xml:space="preserve">günü ise </w:t>
                  </w:r>
                  <w:r>
                    <w:rPr>
                      <w:rFonts w:ascii="Segoe UI" w:eastAsia="Segoe UI" w:hAnsi="Segoe UI"/>
                      <w:b/>
                      <w:color w:val="000000"/>
                      <w:sz w:val="16"/>
                    </w:rPr>
                    <w:t xml:space="preserve">5.976,52 </w:t>
                  </w: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seviyesinde kapanmıştır</w:t>
                  </w:r>
                  <w:proofErr w:type="gramStart"/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. .</w:t>
                  </w:r>
                  <w:proofErr w:type="gramEnd"/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 xml:space="preserve"> Haftalık </w:t>
                  </w:r>
                  <w:proofErr w:type="gramStart"/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 xml:space="preserve">değişim </w:t>
                  </w:r>
                  <w:r>
                    <w:rPr>
                      <w:rFonts w:ascii="Segoe UI" w:eastAsia="Segoe UI" w:hAnsi="Segoe UI"/>
                      <w:b/>
                      <w:color w:val="000000"/>
                      <w:sz w:val="16"/>
                    </w:rPr>
                    <w:t>-</w:t>
                  </w:r>
                  <w:proofErr w:type="gramEnd"/>
                  <w:r>
                    <w:rPr>
                      <w:rFonts w:ascii="Segoe UI" w:eastAsia="Segoe UI" w:hAnsi="Segoe UI"/>
                      <w:b/>
                      <w:color w:val="000000"/>
                      <w:sz w:val="16"/>
                    </w:rPr>
                    <w:t xml:space="preserve">%0,86, </w:t>
                  </w: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 xml:space="preserve">yıllık değişim </w:t>
                  </w:r>
                  <w:r>
                    <w:rPr>
                      <w:rFonts w:ascii="Segoe UI" w:eastAsia="Segoe UI" w:hAnsi="Segoe UI"/>
                      <w:b/>
                      <w:color w:val="000000"/>
                      <w:sz w:val="16"/>
                    </w:rPr>
                    <w:t xml:space="preserve">%22,42 </w:t>
                  </w: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olmuştur.</w:t>
                  </w:r>
                </w:p>
                <w:p w:rsidR="0089536B" w:rsidRDefault="0089536B">
                  <w:pPr>
                    <w:spacing w:after="0" w:line="240" w:lineRule="auto"/>
                    <w:ind w:left="720" w:hanging="360"/>
                  </w:pPr>
                </w:p>
                <w:p w:rsidR="0089536B" w:rsidRDefault="007D1C19">
                  <w:pPr>
                    <w:numPr>
                      <w:ilvl w:val="0"/>
                      <w:numId w:val="1"/>
                    </w:numPr>
                    <w:spacing w:after="0" w:line="240" w:lineRule="auto"/>
                    <w:ind w:left="720" w:hanging="360"/>
                  </w:pPr>
                  <w:r>
                    <w:rPr>
                      <w:rFonts w:ascii="Segoe UI" w:eastAsia="Segoe UI" w:hAnsi="Segoe UI"/>
                      <w:b/>
                      <w:color w:val="000000"/>
                      <w:sz w:val="16"/>
                    </w:rPr>
                    <w:t>TÜRİB Mısır Endeksi: 24.11.2025</w:t>
                  </w: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 xml:space="preserve"> </w:t>
                  </w:r>
                  <w:r>
                    <w:rPr>
                      <w:rFonts w:ascii="Segoe UI" w:eastAsia="Segoe UI" w:hAnsi="Segoe UI"/>
                      <w:b/>
                      <w:color w:val="000000"/>
                      <w:sz w:val="16"/>
                    </w:rPr>
                    <w:t xml:space="preserve">5.931,89 </w:t>
                  </w: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 xml:space="preserve">seviyesinde, </w:t>
                  </w:r>
                  <w:r>
                    <w:rPr>
                      <w:rFonts w:ascii="Segoe UI" w:eastAsia="Segoe UI" w:hAnsi="Segoe UI"/>
                      <w:b/>
                      <w:color w:val="000000"/>
                      <w:sz w:val="16"/>
                    </w:rPr>
                    <w:t xml:space="preserve">28.11.2025 </w:t>
                  </w: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 xml:space="preserve">günü ise </w:t>
                  </w:r>
                  <w:r>
                    <w:rPr>
                      <w:rFonts w:ascii="Segoe UI" w:eastAsia="Segoe UI" w:hAnsi="Segoe UI"/>
                      <w:b/>
                      <w:color w:val="000000"/>
                      <w:sz w:val="16"/>
                    </w:rPr>
                    <w:t xml:space="preserve">5.881,73 </w:t>
                  </w: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 xml:space="preserve">seviyesinde kapanmıştır. Haftalık </w:t>
                  </w:r>
                  <w:proofErr w:type="gramStart"/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 xml:space="preserve">değişim </w:t>
                  </w:r>
                  <w:r>
                    <w:rPr>
                      <w:rFonts w:ascii="Segoe UI" w:eastAsia="Segoe UI" w:hAnsi="Segoe UI"/>
                      <w:b/>
                      <w:color w:val="000000"/>
                      <w:sz w:val="16"/>
                    </w:rPr>
                    <w:t>-</w:t>
                  </w:r>
                  <w:proofErr w:type="gramEnd"/>
                  <w:r>
                    <w:rPr>
                      <w:rFonts w:ascii="Segoe UI" w:eastAsia="Segoe UI" w:hAnsi="Segoe UI"/>
                      <w:b/>
                      <w:color w:val="000000"/>
                      <w:sz w:val="16"/>
                    </w:rPr>
                    <w:t>%0</w:t>
                  </w:r>
                  <w:r>
                    <w:rPr>
                      <w:rFonts w:ascii="Segoe UI" w:eastAsia="Segoe UI" w:hAnsi="Segoe UI"/>
                      <w:b/>
                      <w:color w:val="000000"/>
                      <w:sz w:val="16"/>
                    </w:rPr>
                    <w:t xml:space="preserve">,85, </w:t>
                  </w: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 xml:space="preserve">yıllık değişim </w:t>
                  </w:r>
                  <w:r>
                    <w:rPr>
                      <w:rFonts w:ascii="Segoe UI" w:eastAsia="Segoe UI" w:hAnsi="Segoe UI"/>
                      <w:b/>
                      <w:color w:val="000000"/>
                      <w:sz w:val="16"/>
                    </w:rPr>
                    <w:t xml:space="preserve">%30,93 </w:t>
                  </w: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olmuştur.</w:t>
                  </w:r>
                </w:p>
              </w:tc>
            </w:tr>
          </w:tbl>
          <w:p w:rsidR="0089536B" w:rsidRDefault="0089536B">
            <w:pPr>
              <w:spacing w:after="0" w:line="240" w:lineRule="auto"/>
            </w:pPr>
          </w:p>
        </w:tc>
        <w:tc>
          <w:tcPr>
            <w:tcW w:w="3509" w:type="dxa"/>
          </w:tcPr>
          <w:p w:rsidR="0089536B" w:rsidRDefault="0089536B">
            <w:pPr>
              <w:pStyle w:val="EmptyCellLayoutStyle"/>
              <w:spacing w:after="0" w:line="240" w:lineRule="auto"/>
            </w:pPr>
          </w:p>
        </w:tc>
        <w:tc>
          <w:tcPr>
            <w:tcW w:w="134" w:type="dxa"/>
          </w:tcPr>
          <w:p w:rsidR="0089536B" w:rsidRDefault="0089536B">
            <w:pPr>
              <w:pStyle w:val="EmptyCellLayoutStyle"/>
              <w:spacing w:after="0" w:line="240" w:lineRule="auto"/>
            </w:pPr>
          </w:p>
        </w:tc>
      </w:tr>
      <w:tr w:rsidR="0089536B">
        <w:trPr>
          <w:trHeight w:val="175"/>
        </w:trPr>
        <w:tc>
          <w:tcPr>
            <w:tcW w:w="1417" w:type="dxa"/>
          </w:tcPr>
          <w:p w:rsidR="0089536B" w:rsidRDefault="0089536B">
            <w:pPr>
              <w:pStyle w:val="EmptyCellLayoutStyle"/>
              <w:spacing w:after="0" w:line="240" w:lineRule="auto"/>
            </w:pPr>
          </w:p>
        </w:tc>
        <w:tc>
          <w:tcPr>
            <w:tcW w:w="1271" w:type="dxa"/>
          </w:tcPr>
          <w:p w:rsidR="0089536B" w:rsidRDefault="0089536B">
            <w:pPr>
              <w:pStyle w:val="EmptyCellLayoutStyle"/>
              <w:spacing w:after="0" w:line="240" w:lineRule="auto"/>
            </w:pPr>
          </w:p>
        </w:tc>
        <w:tc>
          <w:tcPr>
            <w:tcW w:w="428" w:type="dxa"/>
          </w:tcPr>
          <w:p w:rsidR="0089536B" w:rsidRDefault="0089536B">
            <w:pPr>
              <w:pStyle w:val="EmptyCellLayoutStyle"/>
              <w:spacing w:after="0" w:line="240" w:lineRule="auto"/>
            </w:pPr>
          </w:p>
        </w:tc>
        <w:tc>
          <w:tcPr>
            <w:tcW w:w="5669" w:type="dxa"/>
          </w:tcPr>
          <w:p w:rsidR="0089536B" w:rsidRDefault="0089536B">
            <w:pPr>
              <w:pStyle w:val="EmptyCellLayoutStyle"/>
              <w:spacing w:after="0" w:line="240" w:lineRule="auto"/>
            </w:pPr>
          </w:p>
        </w:tc>
        <w:tc>
          <w:tcPr>
            <w:tcW w:w="1700" w:type="dxa"/>
          </w:tcPr>
          <w:p w:rsidR="0089536B" w:rsidRDefault="0089536B">
            <w:pPr>
              <w:pStyle w:val="EmptyCellLayoutStyle"/>
              <w:spacing w:after="0" w:line="240" w:lineRule="auto"/>
            </w:pPr>
          </w:p>
        </w:tc>
        <w:tc>
          <w:tcPr>
            <w:tcW w:w="3509" w:type="dxa"/>
          </w:tcPr>
          <w:p w:rsidR="0089536B" w:rsidRDefault="0089536B">
            <w:pPr>
              <w:pStyle w:val="EmptyCellLayoutStyle"/>
              <w:spacing w:after="0" w:line="240" w:lineRule="auto"/>
            </w:pPr>
          </w:p>
        </w:tc>
        <w:tc>
          <w:tcPr>
            <w:tcW w:w="134" w:type="dxa"/>
          </w:tcPr>
          <w:p w:rsidR="0089536B" w:rsidRDefault="0089536B">
            <w:pPr>
              <w:pStyle w:val="EmptyCellLayoutStyle"/>
              <w:spacing w:after="0" w:line="240" w:lineRule="auto"/>
            </w:pPr>
          </w:p>
        </w:tc>
      </w:tr>
      <w:tr w:rsidR="007D1C19" w:rsidTr="007D1C19">
        <w:tc>
          <w:tcPr>
            <w:tcW w:w="1417" w:type="dxa"/>
          </w:tcPr>
          <w:p w:rsidR="0089536B" w:rsidRDefault="0089536B">
            <w:pPr>
              <w:pStyle w:val="EmptyCellLayoutStyle"/>
              <w:spacing w:after="0" w:line="240" w:lineRule="auto"/>
            </w:pPr>
          </w:p>
        </w:tc>
        <w:tc>
          <w:tcPr>
            <w:tcW w:w="1271" w:type="dxa"/>
            <w:gridSpan w:val="5"/>
          </w:tcPr>
          <w:tbl>
            <w:tblPr>
              <w:tblW w:w="0" w:type="auto"/>
              <w:tblBorders>
                <w:top w:val="single" w:sz="3" w:space="0" w:color="000000"/>
                <w:left w:val="single" w:sz="3" w:space="0" w:color="000000"/>
                <w:bottom w:val="single" w:sz="3" w:space="0" w:color="000000"/>
                <w:right w:val="single" w:sz="3" w:space="0" w:color="000000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15"/>
              <w:gridCol w:w="1728"/>
              <w:gridCol w:w="1743"/>
              <w:gridCol w:w="1578"/>
              <w:gridCol w:w="2232"/>
              <w:gridCol w:w="2173"/>
            </w:tblGrid>
            <w:tr w:rsidR="0089536B">
              <w:trPr>
                <w:trHeight w:val="282"/>
              </w:trPr>
              <w:tc>
                <w:tcPr>
                  <w:tcW w:w="3118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536B" w:rsidRDefault="007D1C1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Endeks Adı</w:t>
                  </w:r>
                </w:p>
              </w:tc>
              <w:tc>
                <w:tcPr>
                  <w:tcW w:w="172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536B" w:rsidRDefault="007D1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24.11.2025 Kapanış</w:t>
                  </w:r>
                </w:p>
              </w:tc>
              <w:tc>
                <w:tcPr>
                  <w:tcW w:w="1744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536B" w:rsidRDefault="007D1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28.11.2025 Kapanış</w:t>
                  </w:r>
                </w:p>
              </w:tc>
              <w:tc>
                <w:tcPr>
                  <w:tcW w:w="157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536B" w:rsidRDefault="007D1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Haftalık Değişim</w:t>
                  </w:r>
                </w:p>
              </w:tc>
              <w:tc>
                <w:tcPr>
                  <w:tcW w:w="2234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536B" w:rsidRDefault="007D1C1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b/>
                      <w:color w:val="000000"/>
                      <w:sz w:val="16"/>
                    </w:rPr>
                    <w:t xml:space="preserve">28.11.2025 İtibarıyla </w:t>
                  </w:r>
                  <w:proofErr w:type="gramStart"/>
                  <w:r>
                    <w:rPr>
                      <w:rFonts w:ascii="Segoe UI" w:eastAsia="Segoe UI" w:hAnsi="Segoe UI"/>
                      <w:b/>
                      <w:color w:val="000000"/>
                      <w:sz w:val="16"/>
                    </w:rPr>
                    <w:t>Yılbaşına</w:t>
                  </w:r>
                  <w:proofErr w:type="gramEnd"/>
                  <w:r>
                    <w:rPr>
                      <w:rFonts w:ascii="Segoe UI" w:eastAsia="Segoe UI" w:hAnsi="Segoe UI"/>
                      <w:b/>
                      <w:color w:val="000000"/>
                      <w:sz w:val="16"/>
                    </w:rPr>
                    <w:t xml:space="preserve"> Göre Değişim</w:t>
                  </w:r>
                </w:p>
              </w:tc>
              <w:tc>
                <w:tcPr>
                  <w:tcW w:w="2175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536B" w:rsidRDefault="007D1C1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b/>
                      <w:color w:val="000000"/>
                      <w:sz w:val="16"/>
                    </w:rPr>
                    <w:t>28.11.2025 İtibarıyla Yıllık Değişim</w:t>
                  </w:r>
                </w:p>
              </w:tc>
            </w:tr>
            <w:tr w:rsidR="0089536B">
              <w:trPr>
                <w:trHeight w:val="221"/>
              </w:trPr>
              <w:tc>
                <w:tcPr>
                  <w:tcW w:w="3118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536B" w:rsidRDefault="007D1C1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TÜRİB Arpa Endeksi</w:t>
                  </w:r>
                </w:p>
              </w:tc>
              <w:tc>
                <w:tcPr>
                  <w:tcW w:w="172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536B" w:rsidRDefault="007D1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6.245,57</w:t>
                  </w:r>
                </w:p>
              </w:tc>
              <w:tc>
                <w:tcPr>
                  <w:tcW w:w="1744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536B" w:rsidRDefault="007D1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6.314,52</w:t>
                  </w:r>
                </w:p>
              </w:tc>
              <w:tc>
                <w:tcPr>
                  <w:tcW w:w="157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536B" w:rsidRDefault="007D1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1,10%</w:t>
                  </w:r>
                </w:p>
              </w:tc>
              <w:tc>
                <w:tcPr>
                  <w:tcW w:w="2234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536B" w:rsidRDefault="007D1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43,88%</w:t>
                  </w:r>
                </w:p>
              </w:tc>
              <w:tc>
                <w:tcPr>
                  <w:tcW w:w="2175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536B" w:rsidRDefault="007D1C1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45,19%</w:t>
                  </w:r>
                </w:p>
              </w:tc>
            </w:tr>
            <w:tr w:rsidR="0089536B">
              <w:trPr>
                <w:trHeight w:val="221"/>
              </w:trPr>
              <w:tc>
                <w:tcPr>
                  <w:tcW w:w="3118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536B" w:rsidRDefault="007D1C1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TÜRİB Buğday Ekmeklik Endeksi</w:t>
                  </w:r>
                </w:p>
              </w:tc>
              <w:tc>
                <w:tcPr>
                  <w:tcW w:w="172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536B" w:rsidRDefault="007D1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6.708,55</w:t>
                  </w:r>
                </w:p>
              </w:tc>
              <w:tc>
                <w:tcPr>
                  <w:tcW w:w="1744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536B" w:rsidRDefault="007D1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6.573,34</w:t>
                  </w:r>
                </w:p>
              </w:tc>
              <w:tc>
                <w:tcPr>
                  <w:tcW w:w="157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536B" w:rsidRDefault="007D1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-2,02%</w:t>
                  </w:r>
                </w:p>
              </w:tc>
              <w:tc>
                <w:tcPr>
                  <w:tcW w:w="2234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536B" w:rsidRDefault="007D1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27,82%</w:t>
                  </w:r>
                </w:p>
              </w:tc>
              <w:tc>
                <w:tcPr>
                  <w:tcW w:w="2175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536B" w:rsidRDefault="007D1C1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26,04%</w:t>
                  </w:r>
                </w:p>
              </w:tc>
            </w:tr>
            <w:tr w:rsidR="0089536B">
              <w:trPr>
                <w:trHeight w:val="221"/>
              </w:trPr>
              <w:tc>
                <w:tcPr>
                  <w:tcW w:w="3118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536B" w:rsidRDefault="007D1C1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TÜRİB Buğday Endeksi</w:t>
                  </w:r>
                </w:p>
              </w:tc>
              <w:tc>
                <w:tcPr>
                  <w:tcW w:w="172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536B" w:rsidRDefault="007D1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6.304,79</w:t>
                  </w:r>
                </w:p>
              </w:tc>
              <w:tc>
                <w:tcPr>
                  <w:tcW w:w="1744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536B" w:rsidRDefault="007D1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6.233,18</w:t>
                  </w:r>
                </w:p>
              </w:tc>
              <w:tc>
                <w:tcPr>
                  <w:tcW w:w="157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536B" w:rsidRDefault="007D1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-1,14%</w:t>
                  </w:r>
                </w:p>
              </w:tc>
              <w:tc>
                <w:tcPr>
                  <w:tcW w:w="2234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536B" w:rsidRDefault="007D1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22,50%</w:t>
                  </w:r>
                </w:p>
              </w:tc>
              <w:tc>
                <w:tcPr>
                  <w:tcW w:w="2175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536B" w:rsidRDefault="007D1C1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22,44%</w:t>
                  </w:r>
                </w:p>
              </w:tc>
            </w:tr>
            <w:tr w:rsidR="0089536B">
              <w:trPr>
                <w:trHeight w:val="221"/>
              </w:trPr>
              <w:tc>
                <w:tcPr>
                  <w:tcW w:w="3118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536B" w:rsidRDefault="007D1C1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TÜRİB Buğday Makarnalık Endeksi</w:t>
                  </w:r>
                </w:p>
              </w:tc>
              <w:tc>
                <w:tcPr>
                  <w:tcW w:w="172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536B" w:rsidRDefault="007D1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6.192,66</w:t>
                  </w:r>
                </w:p>
              </w:tc>
              <w:tc>
                <w:tcPr>
                  <w:tcW w:w="1744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536B" w:rsidRDefault="007D1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6.161,90</w:t>
                  </w:r>
                </w:p>
              </w:tc>
              <w:tc>
                <w:tcPr>
                  <w:tcW w:w="157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536B" w:rsidRDefault="007D1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-0,50%</w:t>
                  </w:r>
                </w:p>
              </w:tc>
              <w:tc>
                <w:tcPr>
                  <w:tcW w:w="2234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536B" w:rsidRDefault="007D1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13,00%</w:t>
                  </w:r>
                </w:p>
              </w:tc>
              <w:tc>
                <w:tcPr>
                  <w:tcW w:w="2175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536B" w:rsidRDefault="007D1C1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20,60%</w:t>
                  </w:r>
                </w:p>
              </w:tc>
            </w:tr>
            <w:tr w:rsidR="0089536B">
              <w:trPr>
                <w:trHeight w:val="221"/>
              </w:trPr>
              <w:tc>
                <w:tcPr>
                  <w:tcW w:w="3118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536B" w:rsidRDefault="007D1C1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TÜRİB Hububat Endeksi</w:t>
                  </w:r>
                </w:p>
              </w:tc>
              <w:tc>
                <w:tcPr>
                  <w:tcW w:w="172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536B" w:rsidRDefault="007D1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6.028,51</w:t>
                  </w:r>
                </w:p>
              </w:tc>
              <w:tc>
                <w:tcPr>
                  <w:tcW w:w="1744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536B" w:rsidRDefault="007D1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5.976,52</w:t>
                  </w:r>
                </w:p>
              </w:tc>
              <w:tc>
                <w:tcPr>
                  <w:tcW w:w="157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536B" w:rsidRDefault="007D1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-0,86%</w:t>
                  </w:r>
                </w:p>
              </w:tc>
              <w:tc>
                <w:tcPr>
                  <w:tcW w:w="2234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536B" w:rsidRDefault="007D1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21,85%</w:t>
                  </w:r>
                </w:p>
              </w:tc>
              <w:tc>
                <w:tcPr>
                  <w:tcW w:w="2175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536B" w:rsidRDefault="007D1C1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22,42%</w:t>
                  </w:r>
                </w:p>
              </w:tc>
            </w:tr>
            <w:tr w:rsidR="0089536B">
              <w:trPr>
                <w:trHeight w:val="221"/>
              </w:trPr>
              <w:tc>
                <w:tcPr>
                  <w:tcW w:w="3118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536B" w:rsidRDefault="007D1C1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TÜRİB Mısır Endeksi</w:t>
                  </w:r>
                </w:p>
              </w:tc>
              <w:tc>
                <w:tcPr>
                  <w:tcW w:w="172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536B" w:rsidRDefault="007D1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5.931,89</w:t>
                  </w:r>
                </w:p>
              </w:tc>
              <w:tc>
                <w:tcPr>
                  <w:tcW w:w="1744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536B" w:rsidRDefault="007D1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5.881,73</w:t>
                  </w:r>
                </w:p>
              </w:tc>
              <w:tc>
                <w:tcPr>
                  <w:tcW w:w="157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536B" w:rsidRDefault="007D1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-0,85%</w:t>
                  </w:r>
                </w:p>
              </w:tc>
              <w:tc>
                <w:tcPr>
                  <w:tcW w:w="2234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536B" w:rsidRDefault="007D1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25,50%</w:t>
                  </w:r>
                </w:p>
              </w:tc>
              <w:tc>
                <w:tcPr>
                  <w:tcW w:w="2175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536B" w:rsidRDefault="007D1C1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30,93%</w:t>
                  </w:r>
                </w:p>
              </w:tc>
            </w:tr>
          </w:tbl>
          <w:p w:rsidR="0089536B" w:rsidRDefault="0089536B">
            <w:pPr>
              <w:spacing w:after="0" w:line="240" w:lineRule="auto"/>
            </w:pPr>
          </w:p>
        </w:tc>
        <w:tc>
          <w:tcPr>
            <w:tcW w:w="134" w:type="dxa"/>
          </w:tcPr>
          <w:p w:rsidR="0089536B" w:rsidRDefault="0089536B">
            <w:pPr>
              <w:pStyle w:val="EmptyCellLayoutStyle"/>
              <w:spacing w:after="0" w:line="240" w:lineRule="auto"/>
            </w:pPr>
          </w:p>
        </w:tc>
      </w:tr>
      <w:tr w:rsidR="0089536B">
        <w:trPr>
          <w:trHeight w:val="1031"/>
        </w:trPr>
        <w:tc>
          <w:tcPr>
            <w:tcW w:w="1417" w:type="dxa"/>
          </w:tcPr>
          <w:p w:rsidR="0089536B" w:rsidRDefault="0089536B">
            <w:pPr>
              <w:pStyle w:val="EmptyCellLayoutStyle"/>
              <w:spacing w:after="0" w:line="240" w:lineRule="auto"/>
            </w:pPr>
          </w:p>
        </w:tc>
        <w:tc>
          <w:tcPr>
            <w:tcW w:w="1271" w:type="dxa"/>
          </w:tcPr>
          <w:p w:rsidR="0089536B" w:rsidRDefault="0089536B">
            <w:pPr>
              <w:pStyle w:val="EmptyCellLayoutStyle"/>
              <w:spacing w:after="0" w:line="240" w:lineRule="auto"/>
            </w:pPr>
          </w:p>
        </w:tc>
        <w:tc>
          <w:tcPr>
            <w:tcW w:w="428" w:type="dxa"/>
          </w:tcPr>
          <w:p w:rsidR="0089536B" w:rsidRDefault="0089536B">
            <w:pPr>
              <w:pStyle w:val="EmptyCellLayoutStyle"/>
              <w:spacing w:after="0" w:line="240" w:lineRule="auto"/>
            </w:pPr>
          </w:p>
        </w:tc>
        <w:tc>
          <w:tcPr>
            <w:tcW w:w="5669" w:type="dxa"/>
          </w:tcPr>
          <w:p w:rsidR="0089536B" w:rsidRDefault="0089536B">
            <w:pPr>
              <w:pStyle w:val="EmptyCellLayoutStyle"/>
              <w:spacing w:after="0" w:line="240" w:lineRule="auto"/>
            </w:pPr>
          </w:p>
        </w:tc>
        <w:tc>
          <w:tcPr>
            <w:tcW w:w="1700" w:type="dxa"/>
          </w:tcPr>
          <w:p w:rsidR="0089536B" w:rsidRDefault="0089536B">
            <w:pPr>
              <w:pStyle w:val="EmptyCellLayoutStyle"/>
              <w:spacing w:after="0" w:line="240" w:lineRule="auto"/>
            </w:pPr>
          </w:p>
        </w:tc>
        <w:tc>
          <w:tcPr>
            <w:tcW w:w="3509" w:type="dxa"/>
          </w:tcPr>
          <w:p w:rsidR="0089536B" w:rsidRDefault="0089536B">
            <w:pPr>
              <w:pStyle w:val="EmptyCellLayoutStyle"/>
              <w:spacing w:after="0" w:line="240" w:lineRule="auto"/>
            </w:pPr>
          </w:p>
        </w:tc>
        <w:tc>
          <w:tcPr>
            <w:tcW w:w="134" w:type="dxa"/>
          </w:tcPr>
          <w:p w:rsidR="0089536B" w:rsidRDefault="0089536B">
            <w:pPr>
              <w:pStyle w:val="EmptyCellLayoutStyle"/>
              <w:spacing w:after="0" w:line="240" w:lineRule="auto"/>
            </w:pPr>
          </w:p>
        </w:tc>
      </w:tr>
    </w:tbl>
    <w:p w:rsidR="0089536B" w:rsidRDefault="0089536B">
      <w:pPr>
        <w:spacing w:after="0" w:line="240" w:lineRule="auto"/>
      </w:pPr>
    </w:p>
    <w:sectPr w:rsidR="0089536B">
      <w:pgSz w:w="14133" w:h="16848"/>
      <w:pgMar w:top="0" w:right="0" w:bottom="0" w:left="0" w:header="0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6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7" w15:restartNumberingAfterBreak="0">
    <w:nsid w:val="00000012"/>
    <w:multiLevelType w:val="multilevel"/>
    <w:tmpl w:val="0000001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8" w15:restartNumberingAfterBreak="0">
    <w:nsid w:val="00000013"/>
    <w:multiLevelType w:val="multilevel"/>
    <w:tmpl w:val="0000001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536B"/>
    <w:rsid w:val="007D1C19"/>
    <w:rsid w:val="00895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7123B7"/>
  <w15:docId w15:val="{C1C21F69-8512-4990-99DF-1B8E97F9C9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495</Words>
  <Characters>2822</Characters>
  <Application>Microsoft Office Word</Application>
  <DocSecurity>0</DocSecurity>
  <Lines>23</Lines>
  <Paragraphs>6</Paragraphs>
  <ScaleCrop>false</ScaleCrop>
  <Company>TOBB</Company>
  <LinksUpToDate>false</LinksUpToDate>
  <CharactersWithSpaces>3311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TURIS Haftalik_Tarim_Urunleri_Piyasasi_Bulteni</dc:title>
  <dc:creator>GÖKTUĞ SÖNMEZ</dc:creator>
  <dc:description/>
  <cp:lastModifiedBy>GÖKTUĞ SÖNMEZ</cp:lastModifiedBy>
  <cp:revision>2</cp:revision>
  <dcterms:created xsi:type="dcterms:W3CDTF">2025-12-01T06:01:00Z</dcterms:created>
  <dcterms:modified xsi:type="dcterms:W3CDTF">2025-12-01T06:01:00Z</dcterms:modified>
</cp:coreProperties>
</file>